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6D55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fldChar w:fldCharType="begin"/>
      </w:r>
      <w:r w:rsidRPr="00F97602">
        <w:rPr>
          <w:rFonts w:ascii="Century Gothic" w:hAnsi="Century Gothic"/>
          <w:sz w:val="18"/>
          <w:szCs w:val="18"/>
        </w:rPr>
        <w:instrText>HYPERLINK "https://www.agedcarequality.gov.au/media/97329" \o "https://www.agedcarequality.gov.au/media/97329" \t "_blank"</w:instrText>
      </w:r>
      <w:r w:rsidRPr="00F97602">
        <w:rPr>
          <w:rFonts w:ascii="Century Gothic" w:hAnsi="Century Gothic"/>
          <w:sz w:val="18"/>
          <w:szCs w:val="18"/>
        </w:rPr>
      </w:r>
      <w:r w:rsidRPr="00F97602">
        <w:rPr>
          <w:rFonts w:ascii="Century Gothic" w:hAnsi="Century Gothic"/>
          <w:sz w:val="18"/>
          <w:szCs w:val="18"/>
        </w:rPr>
        <w:fldChar w:fldCharType="separate"/>
      </w:r>
      <w:r w:rsidRPr="00F97602">
        <w:rPr>
          <w:rStyle w:val="Hyperlink"/>
          <w:rFonts w:ascii="Century Gothic" w:hAnsi="Century Gothic"/>
          <w:sz w:val="18"/>
          <w:szCs w:val="18"/>
        </w:rPr>
        <w:t>Topic guide resource: Risk Register Example | Aged Care Quality and Safety Commission</w:t>
      </w:r>
      <w:r w:rsidRPr="00F97602">
        <w:rPr>
          <w:rFonts w:ascii="Century Gothic" w:hAnsi="Century Gothic"/>
          <w:sz w:val="18"/>
          <w:szCs w:val="18"/>
        </w:rPr>
        <w:fldChar w:fldCharType="end"/>
      </w:r>
      <w:r w:rsidRPr="00F97602">
        <w:rPr>
          <w:rFonts w:ascii="Century Gothic" w:hAnsi="Century Gothic"/>
          <w:sz w:val="18"/>
          <w:szCs w:val="18"/>
        </w:rPr>
        <w:br/>
      </w:r>
      <w:r w:rsidRPr="00F97602">
        <w:rPr>
          <w:rFonts w:ascii="Century Gothic" w:hAnsi="Century Gothic"/>
          <w:sz w:val="18"/>
          <w:szCs w:val="18"/>
        </w:rPr>
        <w:br/>
      </w:r>
      <w:hyperlink r:id="rId4" w:tgtFrame="_blank" w:tooltip="https://www.agedcarequality.gov.au/media/97329" w:history="1">
        <w:r w:rsidRPr="00F97602">
          <w:rPr>
            <w:rStyle w:val="Hyperlink"/>
            <w:rFonts w:ascii="Century Gothic" w:hAnsi="Century Gothic"/>
            <w:sz w:val="18"/>
            <w:szCs w:val="18"/>
          </w:rPr>
          <w:t>https://www.agedcarequality.gov.au/media/97329</w:t>
        </w:r>
      </w:hyperlink>
    </w:p>
    <w:p w14:paraId="0E07071C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5" w:tgtFrame="_blank" w:tooltip="https://www.health.gov.au/sites/default/files/2025-02/support-at-home-program-handbook.pdf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Support at Home program handbook</w:t>
        </w:r>
      </w:hyperlink>
      <w:r w:rsidR="00F97602" w:rsidRPr="00F97602">
        <w:rPr>
          <w:rFonts w:ascii="Century Gothic" w:hAnsi="Century Gothic"/>
          <w:sz w:val="18"/>
          <w:szCs w:val="18"/>
        </w:rPr>
        <w:br/>
      </w:r>
      <w:r w:rsidR="00F97602" w:rsidRPr="00F97602">
        <w:rPr>
          <w:rFonts w:ascii="Century Gothic" w:hAnsi="Century Gothic"/>
          <w:sz w:val="18"/>
          <w:szCs w:val="18"/>
        </w:rPr>
        <w:br/>
      </w:r>
      <w:hyperlink r:id="rId6" w:tgtFrame="_blank" w:tooltip="https://www.health.gov.au/sites/default/files/2025-02/support-at-home-program-handbook.pdf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https://www.health.gov.au/sites/default/files/2025-02/support-at-home-program-handbook.pdf</w:t>
        </w:r>
      </w:hyperlink>
      <w:r w:rsidR="00F97602" w:rsidRPr="00F97602">
        <w:rPr>
          <w:rFonts w:ascii="Century Gothic" w:hAnsi="Century Gothic"/>
          <w:sz w:val="18"/>
          <w:szCs w:val="18"/>
        </w:rPr>
        <w:t> </w:t>
      </w:r>
    </w:p>
    <w:p w14:paraId="3EA87D9C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7" w:anchor=":~:text=The%20Aged%20Care%20Capital%20Assistance%20Program%20%28ACCAP%29%20provides,where%20older%20Australians%20have%20limited%20or%20no%20access." w:tgtFrame="_blank" w:tooltip="https://www.health.gov.au/our-work/aged-care-capital-assistance-program#:~:text=the%20aged%20care%20capital%20assistance%20program%20%28accap%29%20provides,where%20older%20australians%20have%20limited%20or%20no%20access.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Aged Care Capital Assistance Program | Australian Government Department of Health, Disability and Ageing</w:t>
        </w:r>
      </w:hyperlink>
      <w:r w:rsidR="00F97602" w:rsidRPr="00F97602">
        <w:rPr>
          <w:rFonts w:ascii="Century Gothic" w:hAnsi="Century Gothic"/>
          <w:sz w:val="18"/>
          <w:szCs w:val="18"/>
        </w:rPr>
        <w:br/>
      </w:r>
      <w:r w:rsidR="00F97602" w:rsidRPr="00F97602">
        <w:rPr>
          <w:rFonts w:ascii="Century Gothic" w:hAnsi="Century Gothic"/>
          <w:sz w:val="18"/>
          <w:szCs w:val="18"/>
        </w:rPr>
        <w:br/>
      </w:r>
      <w:hyperlink r:id="rId8" w:anchor=":~:text=The%20Aged%20Care%20Capital%20Assistance%20Program%20%28ACCAP%29%20provides,where%20older%20Australians%20have%20limited%20or%20no%20access." w:tgtFrame="_blank" w:tooltip="https://www.health.gov.au/our-work/aged-care-capital-assistance-program#:~:text=the%20aged%20care%20capital%20assistance%20program%20%28accap%29%20provides,where%20older%20australians%20have%20limited%20or%20no%20access.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https://www.health.gov.au/our-work/aged-care-capital-assistance-program#:~:text=The%20Aged%20Care%20Capital%20Assistance%20Program%20%28ACCAP%29%20provides,where%20older%20Australians%20have%20limited%20or%20no%20access.</w:t>
        </w:r>
      </w:hyperlink>
    </w:p>
    <w:p w14:paraId="60E7AB9A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9" w:tgtFrame="_blank" w:tooltip="https://www.health.gov.au/our-work/rural-remote-and-first-nations-aged-care-service-development-assistance-panel-sdap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Rural, Remote and First Nations Aged Care Service Development Assistance Panel (SDAP) | Australian Government Department of Health, Disability and Ageing</w:t>
        </w:r>
      </w:hyperlink>
    </w:p>
    <w:p w14:paraId="32AF1C4C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0" w:tgtFrame="_blank" w:tooltip="https://www.health.gov.au/our-work/rural-remote-and-first-nations-aged-care-service-development-assistance-panel-sdap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https://www.health.gov.au/our-work/rural-remote-and-first-nations-aged-care-service-development-assistance-panel-sdap</w:t>
        </w:r>
      </w:hyperlink>
    </w:p>
    <w:p w14:paraId="02DD51ED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Style w:val="Strong"/>
          <w:rFonts w:ascii="Century Gothic" w:hAnsi="Century Gothic"/>
          <w:sz w:val="18"/>
          <w:szCs w:val="18"/>
          <w:u w:val="single"/>
        </w:rPr>
        <w:t>Aged Care Online Education Resources</w:t>
      </w:r>
    </w:p>
    <w:p w14:paraId="7F9C9B0E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1" w:tgtFrame="_blank" w:tooltip="https://www.health.gov.au/our-work/aged-care-act/prepare/elearning-for-aged-care-workers-and-volunteers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eLearning for aged care workers and volunteers | Australian Government Department of Health, Disability and Ageing</w:t>
        </w:r>
      </w:hyperlink>
    </w:p>
    <w:p w14:paraId="35F55D80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2" w:tgtFrame="_blank" w:tooltip="https://www.health.gov.au/news/resources-and-training-available-for-the-new-aged-care-act?language=en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https://www.health.gov.au/news/resources-and-training-available-for-the-new-aged-care-act?language=en</w:t>
        </w:r>
      </w:hyperlink>
    </w:p>
    <w:p w14:paraId="2110DA2F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Style w:val="Strong"/>
          <w:rFonts w:ascii="Century Gothic" w:hAnsi="Century Gothic"/>
          <w:sz w:val="18"/>
          <w:szCs w:val="18"/>
          <w:u w:val="single"/>
        </w:rPr>
        <w:t>Dementia Training</w:t>
      </w:r>
    </w:p>
    <w:p w14:paraId="1E8EF905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t>University of Tasmania - WICKING</w:t>
      </w:r>
    </w:p>
    <w:p w14:paraId="6DF3F447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3" w:tgtFrame="_blank" w:tooltip="https://equiplearning.utas.edu.au/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https://equiplearning.utas.edu.au/</w:t>
        </w:r>
      </w:hyperlink>
    </w:p>
    <w:p w14:paraId="42EF423A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t>Dementia Training Australia</w:t>
      </w:r>
    </w:p>
    <w:p w14:paraId="6FCC7D44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4" w:tgtFrame="_blank" w:tooltip="https://dta.com.au/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https://dta.com.au/</w:t>
        </w:r>
      </w:hyperlink>
    </w:p>
    <w:p w14:paraId="12EE7D83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Style w:val="Strong"/>
          <w:rFonts w:ascii="Century Gothic" w:hAnsi="Century Gothic"/>
          <w:sz w:val="18"/>
          <w:szCs w:val="18"/>
          <w:u w:val="single"/>
        </w:rPr>
        <w:t>Palliative Care</w:t>
      </w:r>
    </w:p>
    <w:p w14:paraId="6251BBF7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proofErr w:type="spellStart"/>
      <w:r w:rsidRPr="00F97602">
        <w:rPr>
          <w:rFonts w:ascii="Century Gothic" w:hAnsi="Century Gothic"/>
          <w:sz w:val="18"/>
          <w:szCs w:val="18"/>
        </w:rPr>
        <w:t>PalliAGED</w:t>
      </w:r>
      <w:proofErr w:type="spellEnd"/>
      <w:r w:rsidRPr="00F97602">
        <w:rPr>
          <w:rFonts w:ascii="Century Gothic" w:hAnsi="Century Gothic"/>
          <w:sz w:val="18"/>
          <w:szCs w:val="18"/>
        </w:rPr>
        <w:t xml:space="preserve"> – Palliative Care Aged Care Evidence</w:t>
      </w:r>
    </w:p>
    <w:p w14:paraId="74A4E777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5" w:tgtFrame="_blank" w:tooltip="https://www.palliaged.com.au/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https://www.palliaged.com.au/</w:t>
        </w:r>
      </w:hyperlink>
    </w:p>
    <w:p w14:paraId="7550C048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t>PEPA – Program of Experience in The Palliative Approach</w:t>
      </w:r>
    </w:p>
    <w:p w14:paraId="35ED7455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6" w:tgtFrame="_blank" w:tooltip="https://pepaeducation.com/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https://pepaeducation.com/</w:t>
        </w:r>
      </w:hyperlink>
    </w:p>
    <w:p w14:paraId="7194A330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t>ELDAC</w:t>
      </w:r>
    </w:p>
    <w:p w14:paraId="6E455F1F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7" w:tgtFrame="_blank" w:tooltip="https://www.eldac.com.au/our-toolkits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https://www.eldac.com.au/Our-Toolkits</w:t>
        </w:r>
      </w:hyperlink>
    </w:p>
    <w:p w14:paraId="765F1DAC" w14:textId="77777777" w:rsidR="00F97602" w:rsidRPr="00F97602" w:rsidRDefault="00F97602" w:rsidP="00F97602">
      <w:pPr>
        <w:pStyle w:val="NormalWeb"/>
        <w:rPr>
          <w:rFonts w:ascii="Century Gothic" w:hAnsi="Century Gothic"/>
          <w:sz w:val="18"/>
          <w:szCs w:val="18"/>
        </w:rPr>
      </w:pPr>
      <w:r w:rsidRPr="00F97602">
        <w:rPr>
          <w:rFonts w:ascii="Century Gothic" w:hAnsi="Century Gothic"/>
          <w:sz w:val="18"/>
          <w:szCs w:val="18"/>
        </w:rPr>
        <w:t>PACOP – Palliative Aged Care Outcomes Program</w:t>
      </w:r>
    </w:p>
    <w:p w14:paraId="3A02419A" w14:textId="77777777" w:rsidR="00F97602" w:rsidRPr="00F97602" w:rsidRDefault="00653ABE" w:rsidP="00F97602">
      <w:pPr>
        <w:pStyle w:val="NormalWeb"/>
        <w:rPr>
          <w:rFonts w:ascii="Century Gothic" w:hAnsi="Century Gothic"/>
          <w:sz w:val="18"/>
          <w:szCs w:val="18"/>
        </w:rPr>
      </w:pPr>
      <w:hyperlink r:id="rId18" w:tgtFrame="_blank" w:tooltip="https://www.uow.edu.au/australasian-health-outcomes-consortium/pacop/" w:history="1">
        <w:r w:rsidR="00F97602" w:rsidRPr="00F97602">
          <w:rPr>
            <w:rStyle w:val="Hyperlink"/>
            <w:rFonts w:ascii="Century Gothic" w:hAnsi="Century Gothic"/>
            <w:sz w:val="18"/>
            <w:szCs w:val="18"/>
          </w:rPr>
          <w:t>https://www.uow.edu.au/australasian-health-outcomes-consortium/pacop/</w:t>
        </w:r>
      </w:hyperlink>
    </w:p>
    <w:p w14:paraId="039B7D00" w14:textId="77777777" w:rsidR="00D20154" w:rsidRPr="00F97602" w:rsidRDefault="00D20154">
      <w:pPr>
        <w:rPr>
          <w:rFonts w:ascii="Century Gothic" w:hAnsi="Century Gothic"/>
          <w:sz w:val="18"/>
          <w:szCs w:val="18"/>
        </w:rPr>
      </w:pPr>
    </w:p>
    <w:sectPr w:rsidR="00D20154" w:rsidRPr="00F97602" w:rsidSect="00F97602">
      <w:pgSz w:w="12240" w:h="15840"/>
      <w:pgMar w:top="796" w:right="1440" w:bottom="7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2"/>
    <w:rsid w:val="001D4CB4"/>
    <w:rsid w:val="00653ABE"/>
    <w:rsid w:val="00D2015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B0D01"/>
  <w15:chartTrackingRefBased/>
  <w15:docId w15:val="{6BED53C1-C750-3A4E-8C92-0A5BC433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6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976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7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our-work/aged-care-capital-assistance-program" TargetMode="External"/><Relationship Id="rId13" Type="http://schemas.openxmlformats.org/officeDocument/2006/relationships/hyperlink" Target="https://equiplearning.utas.edu.au/" TargetMode="External"/><Relationship Id="rId18" Type="http://schemas.openxmlformats.org/officeDocument/2006/relationships/hyperlink" Target="https://www.uow.edu.au/australasian-health-outcomes-consortium/paco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alth.gov.au/our-work/aged-care-capital-assistance-program" TargetMode="External"/><Relationship Id="rId12" Type="http://schemas.openxmlformats.org/officeDocument/2006/relationships/hyperlink" Target="https://www.health.gov.au/news/resources-and-training-available-for-the-new-aged-care-act?language=en" TargetMode="External"/><Relationship Id="rId17" Type="http://schemas.openxmlformats.org/officeDocument/2006/relationships/hyperlink" Target="https://www.eldac.com.au/Our-Toolki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paeducation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ealth.gov.au/sites/default/files/2025-02/support-at-home-program-handbook.pdf" TargetMode="External"/><Relationship Id="rId11" Type="http://schemas.openxmlformats.org/officeDocument/2006/relationships/hyperlink" Target="https://www.health.gov.au/our-work/aged-care-act/prepare/elearning-for-aged-care-workers-and-volunteers" TargetMode="External"/><Relationship Id="rId5" Type="http://schemas.openxmlformats.org/officeDocument/2006/relationships/hyperlink" Target="https://www.health.gov.au/sites/default/files/2025-02/support-at-home-program-handbook.pdf" TargetMode="External"/><Relationship Id="rId15" Type="http://schemas.openxmlformats.org/officeDocument/2006/relationships/hyperlink" Target="https://www.palliaged.com.au/" TargetMode="External"/><Relationship Id="rId10" Type="http://schemas.openxmlformats.org/officeDocument/2006/relationships/hyperlink" Target="https://www.health.gov.au/our-work/rural-remote-and-first-nations-aged-care-service-development-assistance-panel-sda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agedcarequality.gov.au/media/97329" TargetMode="External"/><Relationship Id="rId9" Type="http://schemas.openxmlformats.org/officeDocument/2006/relationships/hyperlink" Target="https://www.health.gov.au/our-work/rural-remote-and-first-nations-aged-care-service-development-assistance-panel-sdap" TargetMode="External"/><Relationship Id="rId14" Type="http://schemas.openxmlformats.org/officeDocument/2006/relationships/hyperlink" Target="https://dta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Kryscel Rivera</dc:creator>
  <cp:keywords/>
  <dc:description/>
  <cp:lastModifiedBy>Kryscel Rivera</cp:lastModifiedBy>
  <cp:revision>2</cp:revision>
  <dcterms:created xsi:type="dcterms:W3CDTF">2025-08-12T03:30:00Z</dcterms:created>
  <dcterms:modified xsi:type="dcterms:W3CDTF">2025-08-12T03:30:00Z</dcterms:modified>
</cp:coreProperties>
</file>